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31394D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07.12</w:t>
      </w:r>
      <w:r w:rsidR="00881459">
        <w:rPr>
          <w:rFonts w:asciiTheme="minorHAnsi" w:hAnsiTheme="minorHAnsi"/>
          <w:b w:val="0"/>
          <w:bCs w:val="0"/>
          <w:sz w:val="20"/>
        </w:rPr>
        <w:t>.2016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60798EDB" wp14:editId="326A5B19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FB796D" w:rsidRPr="00A217F4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Konrad Akowacz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FB796D">
        <w:rPr>
          <w:rFonts w:asciiTheme="minorHAnsi" w:hAnsiTheme="minorHAnsi"/>
        </w:rPr>
        <w:t>511 057</w:t>
      </w:r>
      <w:r w:rsidR="00BE15EA" w:rsidRPr="00A217F4">
        <w:rPr>
          <w:rFonts w:asciiTheme="minorHAnsi" w:hAnsiTheme="minorHAnsi"/>
        </w:rPr>
        <w:t> </w:t>
      </w:r>
      <w:r w:rsidR="00FB796D">
        <w:rPr>
          <w:rFonts w:asciiTheme="minorHAnsi" w:hAnsiTheme="minorHAnsi"/>
        </w:rPr>
        <w:t>700</w:t>
      </w:r>
    </w:p>
    <w:bookmarkStart w:id="0" w:name="_GoBack"/>
    <w:bookmarkEnd w:id="0"/>
    <w:p w:rsidR="006D03DA" w:rsidRDefault="00D83078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r>
        <w:rPr>
          <w:rFonts w:asciiTheme="minorHAnsi" w:hAnsiTheme="minorHAnsi" w:cs="Arial"/>
          <w:b w:val="0"/>
          <w:sz w:val="20"/>
        </w:rPr>
        <w:fldChar w:fldCharType="begin"/>
      </w:r>
      <w:r>
        <w:rPr>
          <w:rFonts w:asciiTheme="minorHAnsi" w:hAnsiTheme="minorHAnsi" w:cs="Arial"/>
          <w:b w:val="0"/>
          <w:sz w:val="20"/>
        </w:rPr>
        <w:instrText xml:space="preserve"> HYPERLINK "mailto:</w:instrText>
      </w:r>
      <w:r w:rsidRPr="00D83078">
        <w:rPr>
          <w:rFonts w:asciiTheme="minorHAnsi" w:hAnsiTheme="minorHAnsi" w:cs="Arial"/>
          <w:b w:val="0"/>
          <w:sz w:val="20"/>
        </w:rPr>
        <w:instrText>akowacz@sedlak.pl</w:instrText>
      </w:r>
      <w:r>
        <w:rPr>
          <w:rFonts w:asciiTheme="minorHAnsi" w:hAnsiTheme="minorHAnsi" w:cs="Arial"/>
          <w:b w:val="0"/>
          <w:sz w:val="20"/>
        </w:rPr>
        <w:instrText xml:space="preserve">" </w:instrText>
      </w:r>
      <w:r>
        <w:rPr>
          <w:rFonts w:asciiTheme="minorHAnsi" w:hAnsiTheme="minorHAnsi" w:cs="Arial"/>
          <w:b w:val="0"/>
          <w:sz w:val="20"/>
        </w:rPr>
        <w:fldChar w:fldCharType="separate"/>
      </w:r>
      <w:r w:rsidRPr="00BB7B47">
        <w:rPr>
          <w:rStyle w:val="Hipercze"/>
          <w:rFonts w:asciiTheme="minorHAnsi" w:hAnsiTheme="minorHAnsi" w:cs="Arial"/>
          <w:b w:val="0"/>
          <w:sz w:val="20"/>
        </w:rPr>
        <w:t>akowacz@sedlak.pl</w:t>
      </w:r>
      <w:r>
        <w:rPr>
          <w:rFonts w:asciiTheme="minorHAnsi" w:hAnsiTheme="minorHAnsi" w:cs="Arial"/>
          <w:b w:val="0"/>
          <w:sz w:val="20"/>
        </w:rPr>
        <w:fldChar w:fldCharType="end"/>
      </w:r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31394D" w:rsidRDefault="0031394D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681531" w:rsidRPr="00A217F4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31394D" w:rsidRPr="0031394D" w:rsidRDefault="0031394D" w:rsidP="0031394D">
      <w:pPr>
        <w:jc w:val="center"/>
        <w:rPr>
          <w:rFonts w:asciiTheme="minorHAnsi" w:hAnsiTheme="minorHAnsi"/>
          <w:caps/>
          <w:color w:val="1F497D" w:themeColor="text2"/>
          <w:sz w:val="40"/>
          <w:szCs w:val="40"/>
        </w:rPr>
      </w:pPr>
      <w:r w:rsidRPr="0031394D">
        <w:rPr>
          <w:rFonts w:asciiTheme="minorHAnsi" w:hAnsiTheme="minorHAnsi"/>
          <w:caps/>
          <w:color w:val="1F497D" w:themeColor="text2"/>
          <w:sz w:val="40"/>
          <w:szCs w:val="40"/>
        </w:rPr>
        <w:t xml:space="preserve">Efektywność wynagrodzeń </w:t>
      </w:r>
      <w:r w:rsidRPr="0031394D">
        <w:rPr>
          <w:rFonts w:asciiTheme="minorHAnsi" w:hAnsiTheme="minorHAnsi"/>
          <w:caps/>
          <w:color w:val="1F497D" w:themeColor="text2"/>
          <w:sz w:val="40"/>
          <w:szCs w:val="40"/>
        </w:rPr>
        <w:br/>
        <w:t>w bankach w Polsce</w:t>
      </w:r>
    </w:p>
    <w:p w:rsidR="0031394D" w:rsidRPr="0031394D" w:rsidRDefault="0031394D" w:rsidP="0031394D">
      <w:pPr>
        <w:jc w:val="center"/>
        <w:rPr>
          <w:rFonts w:asciiTheme="minorHAnsi" w:hAnsiTheme="minorHAnsi"/>
          <w:color w:val="1F497D" w:themeColor="text2"/>
          <w:sz w:val="40"/>
          <w:szCs w:val="40"/>
        </w:rPr>
      </w:pPr>
    </w:p>
    <w:p w:rsidR="0031394D" w:rsidRPr="0031394D" w:rsidRDefault="0031394D" w:rsidP="0031394D">
      <w:pPr>
        <w:jc w:val="center"/>
        <w:rPr>
          <w:rFonts w:asciiTheme="minorHAnsi" w:hAnsiTheme="minorHAnsi"/>
          <w:color w:val="1F497D" w:themeColor="text2"/>
          <w:sz w:val="40"/>
          <w:szCs w:val="40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Do tematu wynagrodzeń podchodzi się w mediach zazwyczaj z perspektywy pracownika. Autorzy artykułów zastanawiają się o ile wzrosły lub wzrosną płace, kto zarabia najwięcej, a kto najmniej. Często próbuje się definiować płacę sprawiedliwą lub poszukiwać jawnych niesprawiedliwości, które zaistniały w konkretnych spółkach. W poniższym artykule postanowiliśmy przyjrzeć się tematowi z innej perspektywy, czyli od strony pracodawcy, tudzież dyrektora finansowego, który patrzy na wynagrodzenia poprzez pryzmat tego, na ile przekładają się one na wyniki firmy.</w:t>
      </w:r>
      <w:r w:rsidR="007D4DDB">
        <w:rPr>
          <w:rFonts w:asciiTheme="minorHAnsi" w:hAnsiTheme="minorHAnsi"/>
          <w:color w:val="000000" w:themeColor="text1"/>
        </w:rPr>
        <w:t xml:space="preserve"> W </w:t>
      </w:r>
      <w:r w:rsidRPr="0031394D">
        <w:rPr>
          <w:rFonts w:asciiTheme="minorHAnsi" w:hAnsiTheme="minorHAnsi"/>
          <w:color w:val="000000" w:themeColor="text1"/>
        </w:rPr>
        <w:t>naszych analizach uwzględniliśmy pięć największych banków w Polsce notowanych na GPW w ramach indeksu WIG20.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  <w:r w:rsidRPr="0031394D">
        <w:rPr>
          <w:rFonts w:asciiTheme="minorHAnsi" w:hAnsiTheme="minorHAnsi"/>
          <w:b/>
          <w:color w:val="1F497D" w:themeColor="text2"/>
          <w:sz w:val="26"/>
          <w:szCs w:val="26"/>
        </w:rPr>
        <w:t>Przeciętne roczne koszty wynagrodzeń w bankach w Polsce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 xml:space="preserve">W poniższym akapicie przedstawiamy informację na temat tego, ile rocznie bank wydał na wynagrodzenia i świadczenia dodatkowe w przeliczeniu na jednego pracownika. Dla określenia tej wartości posłużono się danymi ze skonsolidowanych sprawozdań finansowych. Dane surowe zostały przeanalizowane za pomocą narzędzia do pomiaru efektywności wynagrodzeń Sedlak </w:t>
      </w:r>
      <w:r w:rsidRPr="0031394D">
        <w:rPr>
          <w:rFonts w:asciiTheme="minorHAnsi" w:hAnsiTheme="minorHAnsi"/>
          <w:color w:val="000000" w:themeColor="text1"/>
          <w:sz w:val="20"/>
        </w:rPr>
        <w:t>&amp;</w:t>
      </w:r>
      <w:r w:rsidRPr="0031394D">
        <w:rPr>
          <w:rFonts w:asciiTheme="minorHAnsi" w:hAnsiTheme="minorHAnsi"/>
          <w:color w:val="000000" w:themeColor="text1"/>
        </w:rPr>
        <w:t xml:space="preserve"> Sedlak Compensation Assessment Tool.</w:t>
      </w:r>
    </w:p>
    <w:p w:rsidR="0031394D" w:rsidRPr="0031394D" w:rsidRDefault="0031394D" w:rsidP="0031394D">
      <w:pPr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br w:type="page"/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center"/>
        <w:rPr>
          <w:rFonts w:asciiTheme="minorHAnsi" w:hAnsiTheme="minorHAnsi"/>
          <w:b/>
          <w:color w:val="1F497D" w:themeColor="text2"/>
        </w:rPr>
      </w:pPr>
      <w:r w:rsidRPr="0031394D">
        <w:rPr>
          <w:rFonts w:asciiTheme="minorHAnsi" w:hAnsiTheme="minorHAnsi"/>
          <w:b/>
          <w:color w:val="1F497D" w:themeColor="text2"/>
        </w:rPr>
        <w:t xml:space="preserve">Wykres 1. Przeciętny roczny koszt wynagrodzeń i świadczeń pracowniczych </w:t>
      </w:r>
      <w:r w:rsidRPr="0031394D">
        <w:rPr>
          <w:rFonts w:asciiTheme="minorHAnsi" w:hAnsiTheme="minorHAnsi"/>
          <w:b/>
          <w:color w:val="1F497D" w:themeColor="text2"/>
        </w:rPr>
        <w:br/>
        <w:t xml:space="preserve">w największych polskich bankach w latach 2011 - 2015 </w:t>
      </w:r>
      <w:r w:rsidRPr="0031394D">
        <w:rPr>
          <w:rFonts w:asciiTheme="minorHAnsi" w:hAnsiTheme="minorHAnsi"/>
          <w:b/>
          <w:color w:val="1F497D" w:themeColor="text2"/>
        </w:rPr>
        <w:br/>
        <w:t>w przeliczeniu na jednego pracownika (w tysiącach PLN)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noProof/>
          <w:color w:val="7030A0"/>
          <w:lang w:eastAsia="pl-PL"/>
        </w:rPr>
        <w:drawing>
          <wp:inline distT="0" distB="0" distL="0" distR="0" wp14:anchorId="7C0B5512" wp14:editId="59CB9A55">
            <wp:extent cx="5760720" cy="3635022"/>
            <wp:effectExtent l="0" t="0" r="0" b="381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394D" w:rsidRPr="0031394D" w:rsidRDefault="0031394D" w:rsidP="0031394D">
      <w:pPr>
        <w:jc w:val="center"/>
        <w:rPr>
          <w:rFonts w:asciiTheme="minorHAnsi" w:hAnsiTheme="minorHAnsi"/>
          <w:i/>
          <w:color w:val="000000" w:themeColor="text1"/>
          <w:sz w:val="20"/>
        </w:rPr>
      </w:pP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Opracowanie własne Sedlak </w:t>
      </w:r>
      <w:r w:rsidRPr="0031394D">
        <w:rPr>
          <w:rFonts w:asciiTheme="minorHAnsi" w:hAnsiTheme="minorHAnsi"/>
          <w:i/>
          <w:color w:val="000000" w:themeColor="text1"/>
          <w:sz w:val="16"/>
        </w:rPr>
        <w:t>&amp;</w:t>
      </w: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 Sedlak na podstawie </w:t>
      </w:r>
      <w:r w:rsidRPr="0031394D">
        <w:rPr>
          <w:rFonts w:asciiTheme="minorHAnsi" w:hAnsiTheme="minorHAnsi"/>
          <w:i/>
          <w:color w:val="000000" w:themeColor="text1"/>
          <w:sz w:val="20"/>
        </w:rPr>
        <w:br/>
        <w:t>skonsolidowanych sprawozdań finansowych omawianych banków za lata 2011-2015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Z wykresu 1 wynika, że najwięcej w swoich pracowników inwestuje mBank. Przeciętny koszt wynagrodzeń i świadczeń na jednego pracownika oprócz 2014 roku oscylował wokół 130 000 PLN rocznie, w 2014 roku było to nawet 140 000 PLN. Najmniej na swoich pracowników wydaje Alior. Średnio w latach 2011-2015 było to 86 000 PLN rocznie. Niewiele lepiej sytuacja przedstawiała się w jednym polskim banku ujętym w zestawieniu - PKOBP, gdzie średnia za ostatnie pięć lat wyniosła 89 000 PLN.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  <w:r w:rsidRPr="0031394D">
        <w:rPr>
          <w:rFonts w:asciiTheme="minorHAnsi" w:hAnsiTheme="minorHAnsi"/>
          <w:b/>
          <w:color w:val="1F497D" w:themeColor="text2"/>
          <w:sz w:val="26"/>
          <w:szCs w:val="26"/>
        </w:rPr>
        <w:t>Koszty wynagrodzeń i świadczeń pracowniczych, a koszty działalności banku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Na wykresie 2 prezentujemy jaki procent stanowiły koszty wynagrodzeń i świadczeń pracowniczych w całkowitych kosztach działalności banku. Dane o kosztach działalności zaczerpnęliśmy ze skonsolidowanych sprawozdań finansowych banków.</w:t>
      </w:r>
    </w:p>
    <w:p w:rsidR="0031394D" w:rsidRPr="0031394D" w:rsidRDefault="0031394D" w:rsidP="0031394D">
      <w:pPr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br w:type="page"/>
      </w:r>
    </w:p>
    <w:p w:rsidR="0031394D" w:rsidRPr="0031394D" w:rsidRDefault="0031394D" w:rsidP="0031394D">
      <w:pPr>
        <w:jc w:val="center"/>
        <w:rPr>
          <w:rFonts w:asciiTheme="minorHAnsi" w:hAnsiTheme="minorHAnsi"/>
          <w:b/>
          <w:color w:val="1F497D" w:themeColor="text2"/>
        </w:rPr>
      </w:pPr>
      <w:r w:rsidRPr="0031394D">
        <w:rPr>
          <w:rFonts w:asciiTheme="minorHAnsi" w:hAnsiTheme="minorHAnsi"/>
          <w:b/>
          <w:color w:val="1F497D" w:themeColor="text2"/>
        </w:rPr>
        <w:lastRenderedPageBreak/>
        <w:t xml:space="preserve">Wykres 2. Udział kosztów wynagrodzeń i świadczeń pracowniczych </w:t>
      </w:r>
      <w:r w:rsidRPr="0031394D">
        <w:rPr>
          <w:rFonts w:asciiTheme="minorHAnsi" w:hAnsiTheme="minorHAnsi"/>
          <w:b/>
          <w:color w:val="1F497D" w:themeColor="text2"/>
        </w:rPr>
        <w:br/>
        <w:t>w kosztach całkowitych banków z indeksu WIG20 w latach 2011 - 2015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noProof/>
          <w:lang w:eastAsia="pl-PL"/>
        </w:rPr>
        <w:drawing>
          <wp:inline distT="0" distB="0" distL="0" distR="0" wp14:anchorId="72ECA663" wp14:editId="7BB8194D">
            <wp:extent cx="5760720" cy="3307645"/>
            <wp:effectExtent l="0" t="0" r="0" b="762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1394D" w:rsidRPr="0031394D" w:rsidRDefault="0031394D" w:rsidP="0031394D">
      <w:pPr>
        <w:jc w:val="center"/>
        <w:rPr>
          <w:rFonts w:asciiTheme="minorHAnsi" w:hAnsiTheme="minorHAnsi"/>
          <w:i/>
          <w:color w:val="000000" w:themeColor="text1"/>
          <w:sz w:val="20"/>
        </w:rPr>
      </w:pP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Opracowanie własne Sedlak </w:t>
      </w:r>
      <w:r w:rsidRPr="0031394D">
        <w:rPr>
          <w:rFonts w:asciiTheme="minorHAnsi" w:hAnsiTheme="minorHAnsi"/>
          <w:i/>
          <w:color w:val="000000" w:themeColor="text1"/>
          <w:sz w:val="16"/>
        </w:rPr>
        <w:t>&amp;</w:t>
      </w: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 Sedlak na podstawie </w:t>
      </w:r>
      <w:r w:rsidRPr="0031394D">
        <w:rPr>
          <w:rFonts w:asciiTheme="minorHAnsi" w:hAnsiTheme="minorHAnsi"/>
          <w:i/>
          <w:color w:val="000000" w:themeColor="text1"/>
          <w:sz w:val="20"/>
        </w:rPr>
        <w:br/>
        <w:t>skonsolidowanych sprawozdań finansowych omawianych banków za lata 2011-2015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 xml:space="preserve">Z wykresu 1 wynika, że najwięcej na wynagrodzenia i świadczenia dla pracowników wydaje mBank (w przeliczeniu na jednego pracownika), wydaje się, że na tej podstawie należy założyć, że przez to udział kosztów tych wynagrodzeń i świadczeń w kosztach całkowitych będzie największy ze wszystkich banków. Sytuacja jest jednak odwrotna. Udział kosztów wynagrodzeń i świadczeń pracowniczych w mBanku był najmniejszy spośród wszystkich banków aż do 2015 roku, gdzie ustąpił on pod tym względem Aliorowi. Na chwilę uwagi zasługuje Alior, który pomimo podnoszenia wartości wynagrodzeń i świadczeń dla pracowników w ciągu ostatnich dwóch lat obniżał udział kosztów tych wynagrodzeń i świadczeń w kosztach całkowitych. Oprócz Aliora udział kosztów wynagrodzeń i świadczeń pracowniczych w kosztach całkowitych, począwszy od 2012 roku, rósł we wszystkich bankach. Najwięcej wynosi on w banku PEKAO, gdzie od dwóch lat przekracza on 30%. 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  <w:r w:rsidRPr="0031394D">
        <w:rPr>
          <w:rFonts w:asciiTheme="minorHAnsi" w:hAnsiTheme="minorHAnsi"/>
          <w:b/>
          <w:color w:val="1F497D" w:themeColor="text2"/>
          <w:sz w:val="26"/>
          <w:szCs w:val="26"/>
        </w:rPr>
        <w:t>Jak inwestycja w wynagrodzenia przekłada się na wyniki finansowe?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 xml:space="preserve">Na koniec przedstawiamy dane najistotniejsze z punktu widzenia funkcjonowania każdego przedsiębiorstwa, czyli informacje o tym, jak wydane na </w:t>
      </w:r>
      <w:r w:rsidR="00305BD9">
        <w:rPr>
          <w:rFonts w:asciiTheme="minorHAnsi" w:hAnsiTheme="minorHAnsi"/>
          <w:color w:val="000000" w:themeColor="text1"/>
        </w:rPr>
        <w:t>wynagrodzenia i </w:t>
      </w:r>
      <w:r w:rsidRPr="0031394D">
        <w:rPr>
          <w:rFonts w:asciiTheme="minorHAnsi" w:hAnsiTheme="minorHAnsi"/>
          <w:color w:val="000000" w:themeColor="text1"/>
        </w:rPr>
        <w:t xml:space="preserve">świadczenia pracownicze pieniądze przekładają się na zyski. Wydatki na wynagrodzenia porównaliśmy z zyskiem operacyjnym, czyli tym, który nie uwzględnia kosztów i przychodów finansowych. Wykres 3 przedstawia ile jedna złotówka </w:t>
      </w:r>
      <w:r w:rsidRPr="0031394D">
        <w:rPr>
          <w:rFonts w:asciiTheme="minorHAnsi" w:hAnsiTheme="minorHAnsi"/>
          <w:color w:val="000000" w:themeColor="text1"/>
        </w:rPr>
        <w:lastRenderedPageBreak/>
        <w:t>przeznaczona na wynagrodzenia i świadczenia przyniosła zysku operacyjnego liczonego w  PLN.</w:t>
      </w:r>
    </w:p>
    <w:p w:rsid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7D4DDB" w:rsidRPr="0031394D" w:rsidRDefault="007D4DDB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center"/>
        <w:rPr>
          <w:rFonts w:asciiTheme="minorHAnsi" w:hAnsiTheme="minorHAnsi"/>
          <w:b/>
          <w:color w:val="1F497D" w:themeColor="text2"/>
        </w:rPr>
      </w:pPr>
      <w:r w:rsidRPr="0031394D">
        <w:rPr>
          <w:rFonts w:asciiTheme="minorHAnsi" w:hAnsiTheme="minorHAnsi"/>
          <w:b/>
          <w:color w:val="1F497D" w:themeColor="text2"/>
        </w:rPr>
        <w:t xml:space="preserve">Wykres 3. Ile jeden PLN przeznaczony na wynagrodzenia i świadczenia pracownicze w bankach notowanych w  WIG20 przyniósł zysku operacyjnego </w:t>
      </w:r>
      <w:r w:rsidR="007D4DDB">
        <w:rPr>
          <w:rFonts w:asciiTheme="minorHAnsi" w:hAnsiTheme="minorHAnsi"/>
          <w:b/>
          <w:color w:val="1F497D" w:themeColor="text2"/>
        </w:rPr>
        <w:br/>
      </w:r>
      <w:r w:rsidRPr="0031394D">
        <w:rPr>
          <w:rFonts w:asciiTheme="minorHAnsi" w:hAnsiTheme="minorHAnsi"/>
          <w:b/>
          <w:color w:val="1F497D" w:themeColor="text2"/>
        </w:rPr>
        <w:t>(w PLN)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noProof/>
          <w:lang w:eastAsia="pl-PL"/>
        </w:rPr>
        <w:drawing>
          <wp:inline distT="0" distB="0" distL="0" distR="0" wp14:anchorId="60AF8A32" wp14:editId="4955774E">
            <wp:extent cx="5760720" cy="4978400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1394D" w:rsidRPr="0031394D" w:rsidRDefault="0031394D" w:rsidP="0031394D">
      <w:pPr>
        <w:jc w:val="center"/>
        <w:rPr>
          <w:rFonts w:asciiTheme="minorHAnsi" w:hAnsiTheme="minorHAnsi"/>
          <w:i/>
          <w:color w:val="000000" w:themeColor="text1"/>
          <w:sz w:val="20"/>
        </w:rPr>
      </w:pP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Opracowanie własne Sedlak </w:t>
      </w:r>
      <w:r w:rsidRPr="0031394D">
        <w:rPr>
          <w:rFonts w:asciiTheme="minorHAnsi" w:hAnsiTheme="minorHAnsi"/>
          <w:i/>
          <w:color w:val="000000" w:themeColor="text1"/>
          <w:sz w:val="16"/>
        </w:rPr>
        <w:t>&amp;</w:t>
      </w:r>
      <w:r w:rsidRPr="0031394D">
        <w:rPr>
          <w:rFonts w:asciiTheme="minorHAnsi" w:hAnsiTheme="minorHAnsi"/>
          <w:i/>
          <w:color w:val="000000" w:themeColor="text1"/>
          <w:sz w:val="20"/>
        </w:rPr>
        <w:t xml:space="preserve"> Sedlak na podstawie </w:t>
      </w:r>
      <w:r w:rsidRPr="0031394D">
        <w:rPr>
          <w:rFonts w:asciiTheme="minorHAnsi" w:hAnsiTheme="minorHAnsi"/>
          <w:i/>
          <w:color w:val="000000" w:themeColor="text1"/>
          <w:sz w:val="20"/>
        </w:rPr>
        <w:br/>
        <w:t>skonsolidowanych sprawozdań finansowych omawianych banków za lata 2011-2015</w:t>
      </w:r>
    </w:p>
    <w:p w:rsidR="0031394D" w:rsidRPr="0031394D" w:rsidRDefault="0031394D" w:rsidP="0031394D">
      <w:pPr>
        <w:jc w:val="center"/>
        <w:rPr>
          <w:rFonts w:asciiTheme="minorHAnsi" w:hAnsiTheme="minorHAnsi"/>
          <w:i/>
          <w:color w:val="000000" w:themeColor="text1"/>
          <w:sz w:val="20"/>
        </w:rPr>
      </w:pPr>
    </w:p>
    <w:p w:rsidR="0031394D" w:rsidRPr="0031394D" w:rsidRDefault="0031394D" w:rsidP="0031394D">
      <w:pPr>
        <w:jc w:val="center"/>
        <w:rPr>
          <w:rFonts w:asciiTheme="minorHAnsi" w:hAnsiTheme="minorHAnsi"/>
          <w:i/>
          <w:color w:val="000000" w:themeColor="text1"/>
          <w:sz w:val="20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Z wykresu 3 wynika, że najlepiej swoje pieniądze wydaje bank BZWBK, w którym jedna złotówka przeznaczona na wynagrodzenia i świadczenia pracownicze w 2015 roku przyniosła 1,70 PLN zysku operacyjnego. Niewiele ustępuję mu mBank</w:t>
      </w:r>
      <w:r w:rsidR="00305BD9">
        <w:rPr>
          <w:rFonts w:asciiTheme="minorHAnsi" w:hAnsiTheme="minorHAnsi"/>
          <w:color w:val="000000" w:themeColor="text1"/>
        </w:rPr>
        <w:t>, z </w:t>
      </w:r>
      <w:r w:rsidRPr="0031394D">
        <w:rPr>
          <w:rFonts w:asciiTheme="minorHAnsi" w:hAnsiTheme="minorHAnsi"/>
          <w:color w:val="000000" w:themeColor="text1"/>
        </w:rPr>
        <w:t xml:space="preserve">wynikiem 1,68 PLN. Największy spadek rentowności przez ostatnie 5 lat zanotował PKOBP. Ponadto w tym banku udział kosztów wynagrodzeń i świadczeń pracowniczych w kosztach całkowitych wzrósł o ponad 5%. Wysokość wynagrodzeń </w:t>
      </w:r>
      <w:r w:rsidRPr="0031394D">
        <w:rPr>
          <w:rFonts w:asciiTheme="minorHAnsi" w:hAnsiTheme="minorHAnsi"/>
          <w:color w:val="000000" w:themeColor="text1"/>
        </w:rPr>
        <w:lastRenderedPageBreak/>
        <w:t>i</w:t>
      </w:r>
      <w:r w:rsidR="00305BD9">
        <w:rPr>
          <w:rFonts w:asciiTheme="minorHAnsi" w:hAnsiTheme="minorHAnsi"/>
          <w:color w:val="000000" w:themeColor="text1"/>
        </w:rPr>
        <w:t> </w:t>
      </w:r>
      <w:r w:rsidRPr="0031394D">
        <w:rPr>
          <w:rFonts w:asciiTheme="minorHAnsi" w:hAnsiTheme="minorHAnsi"/>
          <w:color w:val="000000" w:themeColor="text1"/>
        </w:rPr>
        <w:t>świadczeń pracowniczych w PKOBP pozostaje także niska w stosunku do pozostałych banków. Na uwagę zasługuje Alior, który nie tylko zmniejszał udział kosztów wynagrodzeń i świadczeń pracowniczych w kosztach całkowitych, ale też zwiększał  wysokość zysku operacyjnego uzyskanego z inwestycji w te świadczenia. Pomimo to każda złotówka przeznaczona na wynagrodzenia i świadczenia pracownicze w Aliorze przyniosła mniejszy zysk operacyjny, niż w innych bankach.</w:t>
      </w: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color w:val="1F497D" w:themeColor="text2"/>
          <w:sz w:val="26"/>
          <w:szCs w:val="26"/>
        </w:rPr>
      </w:pPr>
      <w:r w:rsidRPr="0031394D">
        <w:rPr>
          <w:rFonts w:asciiTheme="minorHAnsi" w:hAnsiTheme="minorHAnsi"/>
          <w:b/>
          <w:color w:val="1F497D" w:themeColor="text2"/>
          <w:sz w:val="26"/>
          <w:szCs w:val="26"/>
        </w:rPr>
        <w:t>Podsumowanie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 xml:space="preserve">Banki w Polsce przeżywają ostatnimi czasy trudny okres. W mediach dużo komentuje się temat kolejnych obciążeń podatkowych, czy finansowych nakładanych na te instytucje. Patrząc na banki przez pryzmat wynagrodzeń i świadczeń pracowniczych widać w ostatnich latach, że nadal są to instytucje, które zapewniają swoim pracownikom wysoki poziom wynagrodzeń i świadczeń. Niepokój budzić może spadająca efektywność kosztowa wynagrodzeń oraz malejące przełożenie się inwestycji w dobrobyt pracowników na zysk operacyjny banku. 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b/>
          <w:i/>
          <w:color w:val="1F497D" w:themeColor="text2"/>
        </w:rPr>
      </w:pPr>
      <w:r w:rsidRPr="0031394D">
        <w:rPr>
          <w:rFonts w:asciiTheme="minorHAnsi" w:hAnsiTheme="minorHAnsi"/>
          <w:b/>
          <w:i/>
          <w:color w:val="1F497D" w:themeColor="text2"/>
        </w:rPr>
        <w:t>Konrad Akowacz</w:t>
      </w:r>
    </w:p>
    <w:p w:rsidR="0031394D" w:rsidRPr="0031394D" w:rsidRDefault="0031394D" w:rsidP="0031394D">
      <w:pPr>
        <w:jc w:val="both"/>
        <w:rPr>
          <w:rFonts w:asciiTheme="minorHAnsi" w:hAnsiTheme="minorHAnsi"/>
          <w:b/>
          <w:i/>
          <w:color w:val="1F497D" w:themeColor="text2"/>
        </w:rPr>
      </w:pPr>
      <w:r w:rsidRPr="0031394D">
        <w:rPr>
          <w:rFonts w:asciiTheme="minorHAnsi" w:hAnsiTheme="minorHAnsi"/>
          <w:b/>
          <w:i/>
          <w:color w:val="1F497D" w:themeColor="text2"/>
        </w:rPr>
        <w:t xml:space="preserve">Sedlak </w:t>
      </w:r>
      <w:r w:rsidRPr="0031394D">
        <w:rPr>
          <w:rFonts w:asciiTheme="minorHAnsi" w:hAnsiTheme="minorHAnsi"/>
          <w:b/>
          <w:i/>
          <w:color w:val="1F497D" w:themeColor="text2"/>
          <w:sz w:val="18"/>
        </w:rPr>
        <w:t>&amp;</w:t>
      </w:r>
      <w:r w:rsidRPr="0031394D">
        <w:rPr>
          <w:rFonts w:asciiTheme="minorHAnsi" w:hAnsiTheme="minorHAnsi"/>
          <w:b/>
          <w:i/>
          <w:color w:val="1F497D" w:themeColor="text2"/>
        </w:rPr>
        <w:t xml:space="preserve"> Sedlak 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BIBLIOGRAFIA: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>- skonsolidowane sprawozdania finansowe banków notowanych w indeksie WIG20 (stan na 30.11.2016) za lata 2011-2015.</w:t>
      </w:r>
    </w:p>
    <w:p w:rsidR="0031394D" w:rsidRPr="0031394D" w:rsidRDefault="0031394D" w:rsidP="0031394D">
      <w:pPr>
        <w:jc w:val="both"/>
        <w:rPr>
          <w:rFonts w:asciiTheme="minorHAnsi" w:hAnsiTheme="minorHAnsi"/>
          <w:color w:val="000000" w:themeColor="text1"/>
        </w:rPr>
      </w:pPr>
      <w:r w:rsidRPr="0031394D">
        <w:rPr>
          <w:rFonts w:asciiTheme="minorHAnsi" w:hAnsiTheme="minorHAnsi"/>
          <w:color w:val="000000" w:themeColor="text1"/>
        </w:rPr>
        <w:t xml:space="preserve">- do analiz zastosowano narzędzie oceny efektywności nakładów na wynagrodzenia: Sedlak </w:t>
      </w:r>
      <w:r w:rsidRPr="0031394D">
        <w:rPr>
          <w:rFonts w:asciiTheme="minorHAnsi" w:hAnsiTheme="minorHAnsi"/>
          <w:color w:val="000000" w:themeColor="text1"/>
          <w:sz w:val="18"/>
        </w:rPr>
        <w:t>&amp;</w:t>
      </w:r>
      <w:r w:rsidRPr="0031394D">
        <w:rPr>
          <w:rFonts w:asciiTheme="minorHAnsi" w:hAnsiTheme="minorHAnsi"/>
          <w:color w:val="000000" w:themeColor="text1"/>
        </w:rPr>
        <w:t xml:space="preserve"> Sedlak Compensation Assessment Tool</w:t>
      </w:r>
    </w:p>
    <w:p w:rsidR="001061D6" w:rsidRPr="00017379" w:rsidRDefault="001061D6" w:rsidP="001061D6">
      <w:pPr>
        <w:jc w:val="center"/>
        <w:rPr>
          <w:rFonts w:asciiTheme="minorHAnsi" w:hAnsiTheme="minorHAnsi"/>
        </w:rPr>
      </w:pPr>
    </w:p>
    <w:p w:rsidR="0000005A" w:rsidRPr="00017379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681531" w:rsidRDefault="002B358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 w:rsidRPr="0068153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35AB5E" wp14:editId="66FC147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 wp14:anchorId="6FA9A823" wp14:editId="5AA44C89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linku do strony </w:t>
      </w:r>
      <w:r w:rsidR="00326667">
        <w:rPr>
          <w:rFonts w:asciiTheme="minorHAnsi" w:eastAsia="Calibri" w:hAnsiTheme="minorHAnsi" w:cs="Calibri"/>
          <w:b/>
          <w:sz w:val="22"/>
          <w:lang w:eastAsia="pl-PL"/>
        </w:rPr>
        <w:t>o wynagrodzeniach menedżerów spółek giełdowych: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</w:t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4" w:history="1">
        <w:r w:rsidR="00326667" w:rsidRPr="008F112C">
          <w:rPr>
            <w:rStyle w:val="Hipercze"/>
          </w:rPr>
          <w:t>http://wynagrodzenia.pl/wynagrodzenia-menedzerow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>)</w:t>
      </w:r>
    </w:p>
    <w:p w:rsidR="003974B4" w:rsidRP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czcionką nie mniejszą niż czcionka użyta w publikacji. </w:t>
      </w:r>
    </w:p>
    <w:sectPr w:rsidR="003974B4" w:rsidRPr="00326667" w:rsidSect="00E107E8">
      <w:headerReference w:type="default" r:id="rId15"/>
      <w:footerReference w:type="default" r:id="rId16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2A" w:rsidRDefault="0007162A">
      <w:r>
        <w:separator/>
      </w:r>
    </w:p>
  </w:endnote>
  <w:endnote w:type="continuationSeparator" w:id="0">
    <w:p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B49533" wp14:editId="6BCC922D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2A" w:rsidRDefault="0007162A">
      <w:r>
        <w:separator/>
      </w:r>
    </w:p>
  </w:footnote>
  <w:footnote w:type="continuationSeparator" w:id="0">
    <w:p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D237895" wp14:editId="64D5CCB6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91B4120" wp14:editId="259E4EC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16384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05BD9"/>
    <w:rsid w:val="003133CE"/>
    <w:rsid w:val="0031394D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DDB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83078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ynagrodzeni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://wynagrodzenia.pl/wynagrodzenia-menedzer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3\dyskiuzytkownikow\kakowacz\Akowacz\Artyku&#322;y%20moje\SSCAT\WIG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3\dyskiuzytkownikow\kakowacz\Akowacz\Artyku&#322;y%20moje\SSCAT\WIG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3\dyskiuzytkownikow\kakowacz\Akowacz\Artyku&#322;y%20moje\SSCAT\WIG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'Analiza banki'!$R$28</c:f>
              <c:strCache>
                <c:ptCount val="1"/>
                <c:pt idx="0">
                  <c:v>Alior</c:v>
                </c:pt>
              </c:strCache>
            </c:strRef>
          </c:tx>
          <c:spPr>
            <a:ln w="28575" cap="rnd">
              <a:solidFill>
                <a:srgbClr val="EB605B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EB605B"/>
              </a:solidFill>
              <a:ln w="9525">
                <a:solidFill>
                  <a:srgbClr val="EB605B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477954144620809E-2"/>
                  <c:y val="-5.9399021663172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-1.0482180293501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887125220458551E-2"/>
                  <c:y val="-6.6387141858839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4091710758377506E-2"/>
                  <c:y val="-4.5422781271837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8253968253968E-2"/>
                  <c:y val="-3.1446540880503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banki'!$S$27:$W$27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banki'!$S$28:$W$28</c:f>
              <c:numCache>
                <c:formatCode>0</c:formatCode>
                <c:ptCount val="5"/>
                <c:pt idx="0">
                  <c:v>89</c:v>
                </c:pt>
                <c:pt idx="1">
                  <c:v>107</c:v>
                </c:pt>
                <c:pt idx="2">
                  <c:v>71</c:v>
                </c:pt>
                <c:pt idx="3">
                  <c:v>78</c:v>
                </c:pt>
                <c:pt idx="4">
                  <c:v>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'Analiza banki'!$R$29</c:f>
              <c:strCache>
                <c:ptCount val="1"/>
                <c:pt idx="0">
                  <c:v>BZWBK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FFC000"/>
              </a:solidFill>
              <a:ln w="9525">
                <a:solidFill>
                  <a:srgbClr val="FFC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432098765432119E-2"/>
                  <c:y val="-3.1446540880503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2045855379188711E-3"/>
                  <c:y val="3.8434661076170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659611992945325E-2"/>
                  <c:y val="-2.4458420684835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887125220458551E-2"/>
                  <c:y val="-5.2410901467505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-4.5422781271837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banki'!$S$27:$W$27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banki'!$S$29:$W$29</c:f>
              <c:numCache>
                <c:formatCode>0</c:formatCode>
                <c:ptCount val="5"/>
                <c:pt idx="0">
                  <c:v>101</c:v>
                </c:pt>
                <c:pt idx="1">
                  <c:v>106</c:v>
                </c:pt>
                <c:pt idx="2">
                  <c:v>105</c:v>
                </c:pt>
                <c:pt idx="3">
                  <c:v>99</c:v>
                </c:pt>
                <c:pt idx="4">
                  <c:v>107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'Analiza banki'!$R$30</c:f>
              <c:strCache>
                <c:ptCount val="1"/>
                <c:pt idx="0">
                  <c:v>mBank</c:v>
                </c:pt>
              </c:strCache>
            </c:strRef>
          </c:tx>
          <c:spPr>
            <a:ln w="28575" cap="rnd">
              <a:solidFill>
                <a:schemeClr val="accent5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002060"/>
              </a:solidFill>
              <a:ln w="9525">
                <a:solidFill>
                  <a:srgbClr val="00206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296296296296294E-2"/>
                  <c:y val="-6.2893081761006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887125220458551E-2"/>
                  <c:y val="-6.2893081761006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887125220458551E-2"/>
                  <c:y val="-4.8916841369671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887125220458551E-2"/>
                  <c:y val="-4.19287211740041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-5.5904961565338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banki'!$S$27:$W$27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banki'!$S$30:$W$30</c:f>
              <c:numCache>
                <c:formatCode>0</c:formatCode>
                <c:ptCount val="5"/>
                <c:pt idx="0">
                  <c:v>129</c:v>
                </c:pt>
                <c:pt idx="1">
                  <c:v>132</c:v>
                </c:pt>
                <c:pt idx="2">
                  <c:v>133</c:v>
                </c:pt>
                <c:pt idx="3">
                  <c:v>140</c:v>
                </c:pt>
                <c:pt idx="4">
                  <c:v>132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'Analiza banki'!$R$31</c:f>
              <c:strCache>
                <c:ptCount val="1"/>
                <c:pt idx="0">
                  <c:v>PKOBP</c:v>
                </c:pt>
              </c:strCache>
            </c:strRef>
          </c:tx>
          <c:spPr>
            <a:ln w="28575" cap="rnd">
              <a:solidFill>
                <a:srgbClr val="8585B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8585B0"/>
              </a:solidFill>
              <a:ln w="9525">
                <a:solidFill>
                  <a:srgbClr val="8585B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477954144620809E-2"/>
                  <c:y val="-5.5904961565338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887125220458551E-2"/>
                  <c:y val="-4.8916841369671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77954144620809E-2"/>
                  <c:y val="-5.24109014675053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4250440917107582E-2"/>
                  <c:y val="-2.7952480782669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64197530864196E-2"/>
                  <c:y val="-4.19287211740041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banki'!$S$27:$W$27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banki'!$S$31:$W$31</c:f>
              <c:numCache>
                <c:formatCode>#,##0</c:formatCode>
                <c:ptCount val="5"/>
                <c:pt idx="0">
                  <c:v>75</c:v>
                </c:pt>
                <c:pt idx="1">
                  <c:v>90</c:v>
                </c:pt>
                <c:pt idx="2">
                  <c:v>92</c:v>
                </c:pt>
                <c:pt idx="3">
                  <c:v>92</c:v>
                </c:pt>
                <c:pt idx="4">
                  <c:v>95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'Analiza banki'!$R$32</c:f>
              <c:strCache>
                <c:ptCount val="1"/>
                <c:pt idx="0">
                  <c:v>PEKAO</c:v>
                </c:pt>
              </c:strCache>
            </c:strRef>
          </c:tx>
          <c:spPr>
            <a:ln w="28575" cap="rnd">
              <a:solidFill>
                <a:srgbClr val="77C3D8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00B0F0"/>
              </a:solidFill>
              <a:ln w="9525">
                <a:solidFill>
                  <a:srgbClr val="00B0F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500881834215186E-2"/>
                  <c:y val="-4.8916841369671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091710758377423E-2"/>
                  <c:y val="-6.6387141858840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500881834215165E-2"/>
                  <c:y val="-5.5904961565338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705467372134036E-2"/>
                  <c:y val="-5.93990216631726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-6.2893081761006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banki'!$S$27:$W$27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banki'!$S$32:$W$32</c:f>
              <c:numCache>
                <c:formatCode>0</c:formatCode>
                <c:ptCount val="5"/>
                <c:pt idx="0">
                  <c:v>109</c:v>
                </c:pt>
                <c:pt idx="1">
                  <c:v>110</c:v>
                </c:pt>
                <c:pt idx="2">
                  <c:v>110</c:v>
                </c:pt>
                <c:pt idx="3">
                  <c:v>113</c:v>
                </c:pt>
                <c:pt idx="4">
                  <c:v>116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243176"/>
        <c:axId val="293792072"/>
      </c:lineChart>
      <c:catAx>
        <c:axId val="109243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3792072"/>
        <c:crosses val="autoZero"/>
        <c:auto val="1"/>
        <c:lblAlgn val="ctr"/>
        <c:lblOffset val="100"/>
        <c:noMultiLvlLbl val="0"/>
      </c:catAx>
      <c:valAx>
        <c:axId val="293792072"/>
        <c:scaling>
          <c:orientation val="minMax"/>
          <c:min val="60"/>
        </c:scaling>
        <c:delete val="0"/>
        <c:axPos val="l"/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9243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'Analiza banki'!$P$56</c:f>
              <c:strCache>
                <c:ptCount val="1"/>
                <c:pt idx="0">
                  <c:v>Alior</c:v>
                </c:pt>
              </c:strCache>
            </c:strRef>
          </c:tx>
          <c:spPr>
            <a:ln w="28575" cap="rnd">
              <a:solidFill>
                <a:srgbClr val="EB605B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EB605B"/>
              </a:solidFill>
              <a:ln w="9525">
                <a:solidFill>
                  <a:srgbClr val="EB605B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659611992945346E-2"/>
                  <c:y val="6.1443932411674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705467372134078E-2"/>
                  <c:y val="-6.1443932411674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77954144620809E-2"/>
                  <c:y val="3.4562211981566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2.3041474654377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16677385145396E-16"/>
                  <c:y val="1.9201228878648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banki'!$Q$55:$U$55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banki'!$Q$56:$U$56</c:f>
              <c:numCache>
                <c:formatCode>#\ ##0.0%</c:formatCode>
                <c:ptCount val="5"/>
                <c:pt idx="0">
                  <c:v>0.251</c:v>
                </c:pt>
                <c:pt idx="1">
                  <c:v>0.27</c:v>
                </c:pt>
                <c:pt idx="2">
                  <c:v>0.23300000000000001</c:v>
                </c:pt>
                <c:pt idx="3">
                  <c:v>0.20899999999999999</c:v>
                </c:pt>
                <c:pt idx="4">
                  <c:v>0.192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'Analiza banki'!$P$57</c:f>
              <c:strCache>
                <c:ptCount val="1"/>
                <c:pt idx="0">
                  <c:v>BZWBK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FFC000"/>
              </a:solidFill>
              <a:ln w="9525">
                <a:solidFill>
                  <a:srgbClr val="FFC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259259259259261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500881834215206E-2"/>
                  <c:y val="-7.2964669738863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114638447971862E-2"/>
                  <c:y val="-6.1443932411674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910052910052907E-2"/>
                  <c:y val="-7.6804915514592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16677385145396E-16"/>
                  <c:y val="3.4562211981566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banki'!$Q$55:$U$55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banki'!$Q$57:$U$57</c:f>
              <c:numCache>
                <c:formatCode>#\ ##0.0%</c:formatCode>
                <c:ptCount val="5"/>
                <c:pt idx="0">
                  <c:v>0.25700000000000001</c:v>
                </c:pt>
                <c:pt idx="1">
                  <c:v>0.23400000000000001</c:v>
                </c:pt>
                <c:pt idx="2">
                  <c:v>0.23699999999999999</c:v>
                </c:pt>
                <c:pt idx="3">
                  <c:v>0.24299999999999999</c:v>
                </c:pt>
                <c:pt idx="4">
                  <c:v>0.253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'Analiza banki'!$P$58</c:f>
              <c:strCache>
                <c:ptCount val="1"/>
                <c:pt idx="0">
                  <c:v>mBank</c:v>
                </c:pt>
              </c:strCache>
            </c:strRef>
          </c:tx>
          <c:spPr>
            <a:ln w="28575" cap="rnd">
              <a:solidFill>
                <a:srgbClr val="394187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002060"/>
              </a:solidFill>
              <a:ln w="9525">
                <a:solidFill>
                  <a:srgbClr val="00206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2910052910052928E-2"/>
                  <c:y val="6.1443932411674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9523809523809521E-2"/>
                  <c:y val="4.9923195084485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6137566137566134E-2"/>
                  <c:y val="8.06451612903225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8342151675485005E-2"/>
                  <c:y val="6.91244239631334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'Analiza banki'!$Q$55:$U$55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banki'!$Q$58:$U$58</c:f>
              <c:numCache>
                <c:formatCode>#\ ##0.0%</c:formatCode>
                <c:ptCount val="5"/>
                <c:pt idx="0">
                  <c:v>0.19</c:v>
                </c:pt>
                <c:pt idx="1">
                  <c:v>0.16900000000000001</c:v>
                </c:pt>
                <c:pt idx="2">
                  <c:v>0.186</c:v>
                </c:pt>
                <c:pt idx="3">
                  <c:v>0.19900000000000001</c:v>
                </c:pt>
                <c:pt idx="4">
                  <c:v>0.20499999999999999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'Analiza banki'!$P$59</c:f>
              <c:strCache>
                <c:ptCount val="1"/>
                <c:pt idx="0">
                  <c:v>PKOBP</c:v>
                </c:pt>
              </c:strCache>
            </c:strRef>
          </c:tx>
          <c:spPr>
            <a:ln w="28575" cap="rnd">
              <a:solidFill>
                <a:srgbClr val="8585B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8585B0"/>
              </a:solidFill>
              <a:ln w="9525">
                <a:solidFill>
                  <a:srgbClr val="8585B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114638447971799E-2"/>
                  <c:y val="-6.1443932411674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319223985890649E-2"/>
                  <c:y val="4.9923195084485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114638447971862E-2"/>
                  <c:y val="6.5284178187403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2.3041474654377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16677385145396E-16"/>
                  <c:y val="-4.6082949308755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banki'!$Q$55:$U$55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banki'!$Q$59:$U$59</c:f>
              <c:numCache>
                <c:formatCode>#\ ##0.0%</c:formatCode>
                <c:ptCount val="5"/>
                <c:pt idx="0">
                  <c:v>0.20300000000000001</c:v>
                </c:pt>
                <c:pt idx="1">
                  <c:v>0.2</c:v>
                </c:pt>
                <c:pt idx="2">
                  <c:v>0.216</c:v>
                </c:pt>
                <c:pt idx="3">
                  <c:v>0.23599999999999999</c:v>
                </c:pt>
                <c:pt idx="4">
                  <c:v>0.254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'Analiza banki'!$P$60</c:f>
              <c:strCache>
                <c:ptCount val="1"/>
                <c:pt idx="0">
                  <c:v>PEKAO</c:v>
                </c:pt>
              </c:strCache>
            </c:strRef>
          </c:tx>
          <c:spPr>
            <a:ln w="28575" cap="rnd">
              <a:solidFill>
                <a:srgbClr val="77C3D8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00B0F0"/>
              </a:solidFill>
              <a:ln w="9525">
                <a:solidFill>
                  <a:srgbClr val="00B0F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3932980599647291E-2"/>
                  <c:y val="-6.9124423963133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296296296296335E-2"/>
                  <c:y val="3.0721966205837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7319223985890649E-2"/>
                  <c:y val="-8.83256528417818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910052910052907E-2"/>
                  <c:y val="-6.9124423963133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'Analiza banki'!$Q$55:$U$55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banki'!$Q$60:$U$60</c:f>
              <c:numCache>
                <c:formatCode>#\ ##0.0%</c:formatCode>
                <c:ptCount val="5"/>
                <c:pt idx="0">
                  <c:v>0.25800000000000001</c:v>
                </c:pt>
                <c:pt idx="1">
                  <c:v>0.22900000000000001</c:v>
                </c:pt>
                <c:pt idx="2">
                  <c:v>0.27100000000000002</c:v>
                </c:pt>
                <c:pt idx="3">
                  <c:v>0.30499999999999999</c:v>
                </c:pt>
                <c:pt idx="4">
                  <c:v>0.32100000000000001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3787368"/>
        <c:axId val="293798344"/>
      </c:lineChart>
      <c:catAx>
        <c:axId val="293787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3798344"/>
        <c:crosses val="autoZero"/>
        <c:auto val="1"/>
        <c:lblAlgn val="ctr"/>
        <c:lblOffset val="100"/>
        <c:noMultiLvlLbl val="0"/>
      </c:catAx>
      <c:valAx>
        <c:axId val="293798344"/>
        <c:scaling>
          <c:orientation val="minMax"/>
          <c:min val="0.15000000000000002"/>
        </c:scaling>
        <c:delete val="0"/>
        <c:axPos val="l"/>
        <c:numFmt formatCode="#\ ##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3787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'Analiza banki'!$P$86</c:f>
              <c:strCache>
                <c:ptCount val="1"/>
                <c:pt idx="0">
                  <c:v>Alior</c:v>
                </c:pt>
              </c:strCache>
            </c:strRef>
          </c:tx>
          <c:spPr>
            <a:ln w="28575" cap="rnd">
              <a:solidFill>
                <a:srgbClr val="EB605B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EB605B"/>
              </a:solidFill>
              <a:ln w="9525">
                <a:solidFill>
                  <a:srgbClr val="EB605B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705467372134036E-2"/>
                  <c:y val="-5.5803571428571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910052910052907E-2"/>
                  <c:y val="-4.4642857142857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705467372134036E-2"/>
                  <c:y val="-4.4642857142857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91005291005299E-2"/>
                  <c:y val="-3.34821428571429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910052910052907E-2"/>
                  <c:y val="-4.0178571428571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banki'!$Q$85:$U$85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banki'!$Q$86:$U$86</c:f>
              <c:numCache>
                <c:formatCode>#,##0.00</c:formatCode>
                <c:ptCount val="5"/>
                <c:pt idx="0">
                  <c:v>0.5</c:v>
                </c:pt>
                <c:pt idx="1">
                  <c:v>0.17</c:v>
                </c:pt>
                <c:pt idx="2">
                  <c:v>0.62</c:v>
                </c:pt>
                <c:pt idx="3">
                  <c:v>0.77</c:v>
                </c:pt>
                <c:pt idx="4">
                  <c:v>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'Analiza banki'!$P$87</c:f>
              <c:strCache>
                <c:ptCount val="1"/>
                <c:pt idx="0">
                  <c:v>BZWBK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FFC000"/>
              </a:solidFill>
              <a:ln w="9525">
                <a:solidFill>
                  <a:srgbClr val="FFC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1887125220458531E-2"/>
                  <c:y val="3.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50088183421513E-2"/>
                  <c:y val="-4.6875000000000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68253968253968E-2"/>
                  <c:y val="5.5803571428571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4091710758377423E-2"/>
                  <c:y val="-2.6785714285714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-4.0178571428571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banki'!$Q$85:$U$85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banki'!$Q$87:$U$87</c:f>
              <c:numCache>
                <c:formatCode>#,##0.00</c:formatCode>
                <c:ptCount val="5"/>
                <c:pt idx="0">
                  <c:v>1.57</c:v>
                </c:pt>
                <c:pt idx="1">
                  <c:v>1.91</c:v>
                </c:pt>
                <c:pt idx="2">
                  <c:v>1.51</c:v>
                </c:pt>
                <c:pt idx="3">
                  <c:v>1.81</c:v>
                </c:pt>
                <c:pt idx="4">
                  <c:v>1.7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'Analiza banki'!$P$88</c:f>
              <c:strCache>
                <c:ptCount val="1"/>
                <c:pt idx="0">
                  <c:v>mBank</c:v>
                </c:pt>
              </c:strCache>
            </c:strRef>
          </c:tx>
          <c:spPr>
            <a:ln w="28575" cap="rnd">
              <a:solidFill>
                <a:srgbClr val="394187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chemeClr val="tx2"/>
              </a:solidFill>
              <a:ln w="9525">
                <a:solidFill>
                  <a:schemeClr val="tx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477954144620788E-2"/>
                  <c:y val="3.7946428571428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296296296296294E-2"/>
                  <c:y val="4.017857142857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77954144620809E-2"/>
                  <c:y val="2.23214285714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705467372134119E-2"/>
                  <c:y val="-4.4642857142857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2.6785714285714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'Analiza banki'!$Q$85:$U$85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banki'!$Q$88:$U$88</c:f>
              <c:numCache>
                <c:formatCode>#,##0.00</c:formatCode>
                <c:ptCount val="5"/>
                <c:pt idx="0">
                  <c:v>1.81</c:v>
                </c:pt>
                <c:pt idx="1">
                  <c:v>1.76</c:v>
                </c:pt>
                <c:pt idx="2">
                  <c:v>1.78</c:v>
                </c:pt>
                <c:pt idx="3">
                  <c:v>1.96</c:v>
                </c:pt>
                <c:pt idx="4">
                  <c:v>1.68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'Analiza banki'!$P$89</c:f>
              <c:strCache>
                <c:ptCount val="1"/>
                <c:pt idx="0">
                  <c:v>PKOBP</c:v>
                </c:pt>
              </c:strCache>
            </c:strRef>
          </c:tx>
          <c:spPr>
            <a:ln w="28575" cap="rnd">
              <a:solidFill>
                <a:srgbClr val="8585B0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8585B0"/>
              </a:solidFill>
              <a:ln w="9525">
                <a:solidFill>
                  <a:srgbClr val="8585B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500881834215165E-2"/>
                  <c:y val="-2.6785714285714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432098765432058E-2"/>
                  <c:y val="-2.2321428571428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7636684303350969E-2"/>
                  <c:y val="-8.9285714285714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887125220458635E-2"/>
                  <c:y val="-3.5714285714285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273368606701938E-2"/>
                  <c:y val="-4.9107142857142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'Analiza banki'!$Q$85:$U$85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banki'!$Q$89:$U$89</c:f>
              <c:numCache>
                <c:formatCode>#,##0.00</c:formatCode>
                <c:ptCount val="5"/>
                <c:pt idx="0">
                  <c:v>2.21</c:v>
                </c:pt>
                <c:pt idx="1">
                  <c:v>1.79</c:v>
                </c:pt>
                <c:pt idx="2">
                  <c:v>1.61</c:v>
                </c:pt>
                <c:pt idx="3">
                  <c:v>1.5</c:v>
                </c:pt>
                <c:pt idx="4">
                  <c:v>1.1399999999999999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'Analiza banki'!$P$90</c:f>
              <c:strCache>
                <c:ptCount val="1"/>
                <c:pt idx="0">
                  <c:v>PEKAO</c:v>
                </c:pt>
              </c:strCache>
            </c:strRef>
          </c:tx>
          <c:spPr>
            <a:ln w="28575" cap="rnd">
              <a:solidFill>
                <a:srgbClr val="77C3D8"/>
              </a:solidFill>
              <a:round/>
            </a:ln>
            <a:effectLst/>
          </c:spPr>
          <c:marker>
            <c:symbol val="circle"/>
            <c:size val="10"/>
            <c:spPr>
              <a:solidFill>
                <a:srgbClr val="00B0F0"/>
              </a:solidFill>
              <a:ln w="9525">
                <a:solidFill>
                  <a:srgbClr val="00B0F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477954144620788E-2"/>
                  <c:y val="-4.9107142857142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2045855379188308E-3"/>
                  <c:y val="-1.7857142857142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77954144620809E-2"/>
                  <c:y val="-3.3482142857142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87125220458551E-2"/>
                  <c:y val="-3.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'Analiza banki'!$Q$85:$U$85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'Analiza banki'!$Q$90:$U$90</c:f>
              <c:numCache>
                <c:formatCode>#,##0.00</c:formatCode>
                <c:ptCount val="5"/>
                <c:pt idx="0">
                  <c:v>1.81</c:v>
                </c:pt>
                <c:pt idx="1">
                  <c:v>1.88</c:v>
                </c:pt>
                <c:pt idx="2">
                  <c:v>1.79</c:v>
                </c:pt>
                <c:pt idx="3">
                  <c:v>1.73</c:v>
                </c:pt>
                <c:pt idx="4">
                  <c:v>1.42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3799128"/>
        <c:axId val="161585496"/>
      </c:lineChart>
      <c:catAx>
        <c:axId val="293799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1585496"/>
        <c:crosses val="autoZero"/>
        <c:auto val="1"/>
        <c:lblAlgn val="ctr"/>
        <c:lblOffset val="100"/>
        <c:noMultiLvlLbl val="0"/>
      </c:catAx>
      <c:valAx>
        <c:axId val="161585496"/>
        <c:scaling>
          <c:orientation val="minMax"/>
          <c:max val="2.2999999999999998"/>
          <c:min val="0.1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3799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8807-CFCC-4560-AB8A-E8415694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6580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5</cp:revision>
  <cp:lastPrinted>2016-03-18T13:44:00Z</cp:lastPrinted>
  <dcterms:created xsi:type="dcterms:W3CDTF">2016-12-07T09:28:00Z</dcterms:created>
  <dcterms:modified xsi:type="dcterms:W3CDTF">2016-12-07T09:32:00Z</dcterms:modified>
</cp:coreProperties>
</file>